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8C" w:rsidRPr="00E85C04" w:rsidRDefault="001F758C" w:rsidP="001F758C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59264" behindDoc="0" locked="0" layoutInCell="1" allowOverlap="0" wp14:anchorId="297E53A0" wp14:editId="6E5AE66E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>Comptabilité Finance</w:t>
      </w:r>
    </w:p>
    <w:p w:rsidR="001F758C" w:rsidRPr="004563F0" w:rsidRDefault="001F758C" w:rsidP="001F758C">
      <w:pPr>
        <w:rPr>
          <w:sz w:val="20"/>
        </w:rPr>
      </w:pPr>
      <w:r w:rsidRPr="004563F0">
        <w:rPr>
          <w:sz w:val="20"/>
        </w:rPr>
        <w:t>Lycée MARIE CURIE</w:t>
      </w:r>
    </w:p>
    <w:p w:rsidR="001F758C" w:rsidRPr="004563F0" w:rsidRDefault="001F758C" w:rsidP="001F758C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1F758C" w:rsidRPr="004563F0" w:rsidRDefault="001F758C" w:rsidP="001F758C">
      <w:pPr>
        <w:rPr>
          <w:sz w:val="16"/>
        </w:rPr>
      </w:pPr>
      <w:r w:rsidRPr="004563F0">
        <w:rPr>
          <w:sz w:val="20"/>
        </w:rPr>
        <w:t>38435 ECHIROLLES cedex</w:t>
      </w:r>
    </w:p>
    <w:p w:rsidR="001F758C" w:rsidRPr="00E85C04" w:rsidRDefault="00975B6E" w:rsidP="001F758C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1F758C" w:rsidRPr="00ED0EFA">
          <w:rPr>
            <w:rStyle w:val="Lienhypertexte"/>
            <w:sz w:val="18"/>
            <w:lang w:val="nl-NL"/>
          </w:rPr>
          <w:t>http://crcf.ac-grenoble.fr/</w:t>
        </w:r>
      </w:hyperlink>
      <w:r w:rsidR="001F758C">
        <w:rPr>
          <w:lang w:val="nl-NL"/>
        </w:rPr>
        <w:t xml:space="preserve"> </w:t>
      </w:r>
    </w:p>
    <w:p w:rsidR="001F758C" w:rsidRPr="004563F0" w:rsidRDefault="001F758C" w:rsidP="001F758C"/>
    <w:p w:rsidR="001F758C" w:rsidRPr="00AC0FFC" w:rsidRDefault="001F758C" w:rsidP="00B85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hd w:val="clear" w:color="auto" w:fill="D9D9D9"/>
        <w:jc w:val="center"/>
        <w:rPr>
          <w:rFonts w:ascii="Times New Roman" w:hAnsi="Times New Roman"/>
          <w:b/>
          <w:sz w:val="10"/>
          <w:szCs w:val="10"/>
        </w:rPr>
      </w:pPr>
    </w:p>
    <w:p w:rsidR="001F758C" w:rsidRDefault="001F758C" w:rsidP="00B85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hd w:val="clear" w:color="auto" w:fill="D9D9D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Ordonnance n°2017-1389 du 22/09/2017</w:t>
      </w:r>
    </w:p>
    <w:p w:rsidR="001F758C" w:rsidRPr="000F3670" w:rsidRDefault="001F758C" w:rsidP="000F36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hd w:val="clear" w:color="auto" w:fill="D9D9D9"/>
        <w:jc w:val="center"/>
        <w:rPr>
          <w:rFonts w:ascii="Times New Roman" w:hAnsi="Times New Roman"/>
          <w:b/>
          <w:bCs/>
          <w:i/>
          <w:sz w:val="26"/>
          <w:szCs w:val="26"/>
        </w:rPr>
      </w:pPr>
      <w:r w:rsidRPr="000F3670">
        <w:rPr>
          <w:rFonts w:ascii="Times New Roman" w:hAnsi="Times New Roman"/>
          <w:b/>
          <w:sz w:val="26"/>
          <w:szCs w:val="26"/>
        </w:rPr>
        <w:t>Relative à la prévention et à la prise en compte des effets de l’exposition à certains facteurs de risques professionnels et au compte professionnel de prévention</w:t>
      </w:r>
    </w:p>
    <w:p w:rsidR="001F758C" w:rsidRPr="00B85267" w:rsidRDefault="001F758C" w:rsidP="00B85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hd w:val="clear" w:color="auto" w:fill="D9D9D9"/>
        <w:rPr>
          <w:rFonts w:ascii="Times New Roman" w:hAnsi="Times New Roman"/>
          <w:b/>
          <w:i/>
          <w:sz w:val="10"/>
          <w:szCs w:val="10"/>
        </w:rPr>
      </w:pPr>
    </w:p>
    <w:p w:rsidR="001F758C" w:rsidRDefault="001F758C" w:rsidP="001F758C">
      <w:pPr>
        <w:rPr>
          <w:rFonts w:ascii="Times New Roman" w:hAnsi="Times New Roman"/>
          <w:b/>
          <w:u w:val="single"/>
        </w:rPr>
      </w:pPr>
    </w:p>
    <w:p w:rsidR="003F20F7" w:rsidRPr="003F20F7" w:rsidRDefault="00496891" w:rsidP="003F20F7">
      <w:pPr>
        <w:rPr>
          <w:rFonts w:ascii="Times New Roman" w:hAnsi="Times New Roman"/>
          <w:color w:val="984806" w:themeColor="accent6" w:themeShade="80"/>
          <w:sz w:val="24"/>
          <w:szCs w:val="24"/>
        </w:rPr>
      </w:pPr>
      <w:r>
        <w:rPr>
          <w:rFonts w:ascii="Times New Roman" w:hAnsi="Times New Roman"/>
          <w:color w:val="984806" w:themeColor="accent6" w:themeShade="80"/>
          <w:sz w:val="24"/>
          <w:szCs w:val="24"/>
        </w:rPr>
        <w:t>Sauf dispositions spécifiques, l</w:t>
      </w:r>
      <w:r w:rsidR="003F20F7" w:rsidRPr="003F20F7">
        <w:rPr>
          <w:rFonts w:ascii="Times New Roman" w:hAnsi="Times New Roman"/>
          <w:color w:val="984806" w:themeColor="accent6" w:themeShade="80"/>
          <w:sz w:val="24"/>
          <w:szCs w:val="24"/>
        </w:rPr>
        <w:t>es dispositions de cette Ordonnance s’appliquent dès le 1</w:t>
      </w:r>
      <w:r w:rsidR="003F20F7" w:rsidRPr="003F20F7">
        <w:rPr>
          <w:rFonts w:ascii="Times New Roman" w:hAnsi="Times New Roman"/>
          <w:color w:val="984806" w:themeColor="accent6" w:themeShade="80"/>
          <w:sz w:val="24"/>
          <w:szCs w:val="24"/>
          <w:vertAlign w:val="superscript"/>
        </w:rPr>
        <w:t>er</w:t>
      </w:r>
      <w:r w:rsidR="003F20F7">
        <w:rPr>
          <w:rFonts w:ascii="Times New Roman" w:hAnsi="Times New Roman"/>
          <w:color w:val="984806" w:themeColor="accent6" w:themeShade="80"/>
          <w:sz w:val="24"/>
          <w:szCs w:val="24"/>
        </w:rPr>
        <w:t xml:space="preserve"> </w:t>
      </w:r>
      <w:r w:rsidR="003F20F7" w:rsidRPr="003F20F7">
        <w:rPr>
          <w:rFonts w:ascii="Times New Roman" w:hAnsi="Times New Roman"/>
          <w:color w:val="984806" w:themeColor="accent6" w:themeShade="80"/>
          <w:sz w:val="24"/>
          <w:szCs w:val="24"/>
        </w:rPr>
        <w:t>octobre 2017 sous réserve, pour certaines mesures, des décrets d’application n</w:t>
      </w:r>
      <w:r w:rsidR="003F20F7">
        <w:rPr>
          <w:rFonts w:ascii="Times New Roman" w:hAnsi="Times New Roman"/>
          <w:color w:val="984806" w:themeColor="accent6" w:themeShade="80"/>
          <w:sz w:val="24"/>
          <w:szCs w:val="24"/>
        </w:rPr>
        <w:t>écessaires à leur mise en œuvre.</w:t>
      </w:r>
    </w:p>
    <w:p w:rsidR="003F20F7" w:rsidRPr="003F20F7" w:rsidRDefault="003F20F7" w:rsidP="001F758C">
      <w:pPr>
        <w:rPr>
          <w:rFonts w:ascii="Times New Roman" w:hAnsi="Times New Roman"/>
          <w:b/>
          <w:color w:val="984806" w:themeColor="accent6" w:themeShade="80"/>
          <w:u w:val="single"/>
        </w:rPr>
      </w:pPr>
    </w:p>
    <w:p w:rsidR="001F758C" w:rsidRDefault="001D4899" w:rsidP="001F75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Avec c</w:t>
      </w:r>
      <w:r w:rsidR="008434AF">
        <w:rPr>
          <w:rFonts w:ascii="Times New Roman" w:hAnsi="Times New Roman"/>
          <w:sz w:val="24"/>
          <w:szCs w:val="24"/>
        </w:rPr>
        <w:t xml:space="preserve">ette </w:t>
      </w:r>
      <w:r w:rsidR="001F758C">
        <w:rPr>
          <w:rFonts w:ascii="Times New Roman" w:hAnsi="Times New Roman"/>
          <w:sz w:val="24"/>
          <w:szCs w:val="24"/>
        </w:rPr>
        <w:t>Ordonnance</w:t>
      </w:r>
      <w:r>
        <w:rPr>
          <w:rFonts w:ascii="Times New Roman" w:hAnsi="Times New Roman"/>
          <w:sz w:val="24"/>
          <w:szCs w:val="24"/>
        </w:rPr>
        <w:t xml:space="preserve">, le compte personnel de prévention de la pénibilité (C3P) devient le </w:t>
      </w:r>
      <w:r w:rsidRPr="001D4899">
        <w:rPr>
          <w:rFonts w:ascii="Times New Roman" w:hAnsi="Times New Roman"/>
          <w:b/>
          <w:sz w:val="24"/>
          <w:szCs w:val="24"/>
        </w:rPr>
        <w:t>compte professionnel de prévention (C2P)</w:t>
      </w:r>
      <w:r>
        <w:rPr>
          <w:rFonts w:ascii="Times New Roman" w:hAnsi="Times New Roman"/>
          <w:sz w:val="24"/>
          <w:szCs w:val="24"/>
        </w:rPr>
        <w:t>.</w:t>
      </w:r>
    </w:p>
    <w:p w:rsidR="001D4899" w:rsidRDefault="001D4899" w:rsidP="001F758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 compte allège les obligations de l’employeur en réduisant notamment les facteurs de pénibilité.</w:t>
      </w:r>
    </w:p>
    <w:p w:rsidR="001D4899" w:rsidRDefault="001D4899" w:rsidP="001F758C">
      <w:pPr>
        <w:rPr>
          <w:rFonts w:ascii="Times New Roman" w:hAnsi="Times New Roman"/>
        </w:rPr>
      </w:pPr>
    </w:p>
    <w:p w:rsidR="007D4ABE" w:rsidRDefault="007D4ABE" w:rsidP="001F758C">
      <w:pPr>
        <w:rPr>
          <w:rFonts w:ascii="Times New Roman" w:hAnsi="Times New Roman"/>
        </w:rPr>
      </w:pPr>
    </w:p>
    <w:p w:rsidR="001F758C" w:rsidRDefault="001F758C" w:rsidP="001F758C">
      <w:pPr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9D3544">
        <w:rPr>
          <w:rFonts w:ascii="Times New Roman" w:hAnsi="Times New Roman"/>
          <w:b/>
          <w:bCs/>
          <w:i/>
          <w:sz w:val="24"/>
          <w:szCs w:val="24"/>
          <w:u w:val="single"/>
        </w:rPr>
        <w:t>Sommaire :</w:t>
      </w:r>
    </w:p>
    <w:p w:rsidR="008434AF" w:rsidRPr="009D3544" w:rsidRDefault="008434AF" w:rsidP="001F758C">
      <w:pPr>
        <w:rPr>
          <w:rFonts w:ascii="Times New Roman" w:hAnsi="Times New Roman"/>
          <w:b/>
          <w:bCs/>
          <w:i/>
          <w:sz w:val="24"/>
          <w:szCs w:val="24"/>
          <w:u w:val="single"/>
        </w:rPr>
      </w:pPr>
    </w:p>
    <w:p w:rsidR="001F758C" w:rsidRPr="007D4ABE" w:rsidRDefault="001D4899" w:rsidP="007D4ABE">
      <w:pPr>
        <w:pStyle w:val="Paragraphedeliste"/>
        <w:numPr>
          <w:ilvl w:val="0"/>
          <w:numId w:val="4"/>
        </w:numPr>
        <w:rPr>
          <w:rFonts w:ascii="Times New Roman" w:hAnsi="Times New Roman"/>
          <w:color w:val="0070C0"/>
          <w:sz w:val="28"/>
          <w:szCs w:val="28"/>
        </w:rPr>
      </w:pPr>
      <w:r w:rsidRPr="007D4ABE">
        <w:rPr>
          <w:rFonts w:ascii="Times New Roman" w:hAnsi="Times New Roman"/>
          <w:color w:val="0070C0"/>
          <w:sz w:val="28"/>
          <w:szCs w:val="28"/>
        </w:rPr>
        <w:t xml:space="preserve">Réduction du nombre de facteurs de risques professionnels </w:t>
      </w:r>
    </w:p>
    <w:p w:rsidR="001D4899" w:rsidRPr="007D4ABE" w:rsidRDefault="001D4899" w:rsidP="007D4ABE">
      <w:pPr>
        <w:pStyle w:val="Paragraphedeliste"/>
        <w:numPr>
          <w:ilvl w:val="0"/>
          <w:numId w:val="4"/>
        </w:numPr>
        <w:rPr>
          <w:rFonts w:ascii="Times New Roman" w:hAnsi="Times New Roman"/>
          <w:color w:val="0070C0"/>
          <w:sz w:val="28"/>
          <w:szCs w:val="28"/>
        </w:rPr>
      </w:pPr>
      <w:r w:rsidRPr="007D4ABE">
        <w:rPr>
          <w:rFonts w:ascii="Times New Roman" w:hAnsi="Times New Roman"/>
          <w:color w:val="0070C0"/>
          <w:sz w:val="28"/>
          <w:szCs w:val="28"/>
        </w:rPr>
        <w:t>Prise en compte de certains risques par un dispositif de retraite anticipé</w:t>
      </w:r>
    </w:p>
    <w:p w:rsidR="001D4899" w:rsidRPr="007D4ABE" w:rsidRDefault="001D4899" w:rsidP="007D4ABE">
      <w:pPr>
        <w:pStyle w:val="Paragraphedeliste"/>
        <w:numPr>
          <w:ilvl w:val="0"/>
          <w:numId w:val="4"/>
        </w:numPr>
        <w:rPr>
          <w:rFonts w:ascii="Times New Roman" w:hAnsi="Times New Roman"/>
          <w:color w:val="0070C0"/>
          <w:sz w:val="28"/>
          <w:szCs w:val="28"/>
        </w:rPr>
      </w:pPr>
      <w:r w:rsidRPr="007D4ABE">
        <w:rPr>
          <w:rFonts w:ascii="Times New Roman" w:hAnsi="Times New Roman"/>
          <w:color w:val="0070C0"/>
          <w:sz w:val="28"/>
          <w:szCs w:val="28"/>
        </w:rPr>
        <w:t>Nouveau mode de financement du compte de prévention</w:t>
      </w:r>
    </w:p>
    <w:p w:rsidR="001D4899" w:rsidRPr="007D4ABE" w:rsidRDefault="007D4ABE" w:rsidP="007D4ABE">
      <w:pPr>
        <w:pStyle w:val="Paragraphedeliste"/>
        <w:numPr>
          <w:ilvl w:val="0"/>
          <w:numId w:val="4"/>
        </w:numPr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Modification de la négociation sur la pénibilité</w:t>
      </w:r>
    </w:p>
    <w:p w:rsidR="007D4ABE" w:rsidRPr="00C36570" w:rsidRDefault="007D4ABE" w:rsidP="001F758C">
      <w:pPr>
        <w:rPr>
          <w:rFonts w:ascii="Times New Roman" w:hAnsi="Times New Roman"/>
          <w:color w:val="0070C0"/>
          <w:sz w:val="28"/>
          <w:szCs w:val="28"/>
        </w:rPr>
      </w:pPr>
    </w:p>
    <w:tbl>
      <w:tblPr>
        <w:tblStyle w:val="Grilledutableau"/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1F758C" w:rsidTr="00924695">
        <w:tc>
          <w:tcPr>
            <w:tcW w:w="9923" w:type="dxa"/>
            <w:shd w:val="clear" w:color="auto" w:fill="BFBFBF" w:themeFill="background1" w:themeFillShade="BF"/>
          </w:tcPr>
          <w:p w:rsidR="001F758C" w:rsidRDefault="001F758C" w:rsidP="007D4A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EB7">
              <w:rPr>
                <w:rFonts w:ascii="Times New Roman" w:hAnsi="Times New Roman"/>
                <w:sz w:val="24"/>
                <w:szCs w:val="24"/>
              </w:rPr>
              <w:br w:type="page"/>
            </w:r>
            <w:r w:rsidR="003F20F7" w:rsidRPr="000F3670">
              <w:rPr>
                <w:rFonts w:ascii="Times New Roman" w:hAnsi="Times New Roman"/>
                <w:b/>
                <w:color w:val="0070C0"/>
                <w:sz w:val="32"/>
                <w:szCs w:val="32"/>
              </w:rPr>
              <w:t>Réduction du nombre de facteurs de risques professionnels</w:t>
            </w:r>
          </w:p>
        </w:tc>
      </w:tr>
      <w:tr w:rsidR="001F758C" w:rsidRPr="00BE483C" w:rsidTr="00924695">
        <w:tc>
          <w:tcPr>
            <w:tcW w:w="9923" w:type="dxa"/>
          </w:tcPr>
          <w:p w:rsidR="003F20F7" w:rsidRDefault="003F20F7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3F20F7" w:rsidRPr="003F20F7" w:rsidRDefault="003F20F7" w:rsidP="003F20F7">
            <w:pPr>
              <w:pStyle w:val="Paragraphedeliste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F20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Avant l’Ordonnance</w:t>
            </w:r>
          </w:p>
          <w:p w:rsidR="003F20F7" w:rsidRDefault="003F20F7" w:rsidP="000F367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Avec le C3P</w:t>
            </w:r>
            <w:r w:rsidRPr="003F20F7">
              <w:rPr>
                <w:rFonts w:ascii="Times New Roman" w:hAnsi="Times New Roman"/>
                <w:sz w:val="24"/>
                <w:szCs w:val="24"/>
              </w:rPr>
              <w:t xml:space="preserve">, l’employeur devait déclarer l’exposition de ses salariés à </w:t>
            </w:r>
            <w:r w:rsidRPr="000F3670">
              <w:rPr>
                <w:rFonts w:ascii="Times New Roman" w:hAnsi="Times New Roman"/>
                <w:b/>
                <w:sz w:val="24"/>
                <w:szCs w:val="24"/>
              </w:rPr>
              <w:t>10 facteurs de risques</w:t>
            </w:r>
            <w:r w:rsidR="000F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3670" w:rsidRPr="003F20F7" w:rsidRDefault="000F3670" w:rsidP="000F367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3F20F7" w:rsidRPr="000F3670" w:rsidRDefault="000F3670" w:rsidP="000F3670">
            <w:pPr>
              <w:pStyle w:val="Paragraphedeliste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367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Avec l’Ordonnance</w:t>
            </w:r>
          </w:p>
          <w:p w:rsidR="000F3670" w:rsidRDefault="0093645A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 xml:space="preserve">ette </w:t>
            </w:r>
            <w:r w:rsidR="003F20F7" w:rsidRPr="003F20F7">
              <w:rPr>
                <w:rFonts w:ascii="Times New Roman" w:hAnsi="Times New Roman"/>
                <w:b/>
                <w:bCs/>
                <w:sz w:val="24"/>
                <w:szCs w:val="24"/>
              </w:rPr>
              <w:t>obligation de déclaration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 xml:space="preserve"> ne porte plus que sur les </w:t>
            </w:r>
            <w:r w:rsidR="003F20F7" w:rsidRPr="003F20F7">
              <w:rPr>
                <w:rFonts w:ascii="Times New Roman" w:hAnsi="Times New Roman"/>
                <w:b/>
                <w:bCs/>
                <w:sz w:val="24"/>
                <w:szCs w:val="24"/>
              </w:rPr>
              <w:t>6 facteurs de risques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 xml:space="preserve"> liés</w:t>
            </w:r>
            <w:r w:rsidR="000F3670">
              <w:rPr>
                <w:rFonts w:ascii="Times New Roman" w:hAnsi="Times New Roman"/>
                <w:sz w:val="24"/>
                <w:szCs w:val="24"/>
              </w:rPr>
              <w:t xml:space="preserve"> au travail :</w:t>
            </w:r>
          </w:p>
          <w:p w:rsid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 nuit,</w:t>
            </w:r>
          </w:p>
          <w:p w:rsid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 équipes successives alternantes,</w:t>
            </w:r>
          </w:p>
          <w:p w:rsid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 milieu hyperbare,</w:t>
            </w:r>
          </w:p>
          <w:p w:rsid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exposé au bruit,</w:t>
            </w:r>
          </w:p>
          <w:p w:rsid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exposé aux températures extrêmes,</w:t>
            </w:r>
          </w:p>
          <w:p w:rsidR="000F3670" w:rsidRP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répétitif.</w:t>
            </w:r>
          </w:p>
          <w:p w:rsidR="000F3670" w:rsidRDefault="000F3670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 xml:space="preserve">’obligation de déclaration est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donc </w:t>
            </w:r>
            <w:r w:rsidR="003F20F7" w:rsidRPr="003F20F7">
              <w:rPr>
                <w:rFonts w:ascii="Times New Roman" w:hAnsi="Times New Roman"/>
                <w:b/>
                <w:bCs/>
                <w:sz w:val="24"/>
                <w:szCs w:val="24"/>
              </w:rPr>
              <w:t>supprimée pour 4 facteurs de risques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> </w:t>
            </w:r>
            <w:r w:rsidR="0093645A" w:rsidRPr="0093645A">
              <w:rPr>
                <w:rFonts w:ascii="Times New Roman" w:hAnsi="Times New Roman"/>
                <w:b/>
                <w:sz w:val="24"/>
                <w:szCs w:val="24"/>
              </w:rPr>
              <w:t>liés</w:t>
            </w:r>
            <w:r w:rsidR="003F20F7" w:rsidRPr="0093645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aux postures pénibles,</w:t>
            </w:r>
          </w:p>
          <w:p w:rsid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aux manutentions manuelles de charges,</w:t>
            </w:r>
          </w:p>
          <w:p w:rsid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aux vibrations mécaniques,</w:t>
            </w:r>
          </w:p>
          <w:p w:rsidR="000F3670" w:rsidRDefault="000F3670" w:rsidP="000F3670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aux agents chimiques dangereux.</w:t>
            </w:r>
          </w:p>
          <w:p w:rsidR="000F3670" w:rsidRDefault="000F3670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F758C" w:rsidRPr="00BE483C" w:rsidRDefault="000F3670" w:rsidP="00924695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 xml:space="preserve">es 4 facteurs de risques </w:t>
            </w:r>
            <w:r>
              <w:rPr>
                <w:rFonts w:ascii="Times New Roman" w:hAnsi="Times New Roman"/>
                <w:sz w:val="24"/>
                <w:szCs w:val="24"/>
              </w:rPr>
              <w:t>sortent donc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 xml:space="preserve"> du fonctionnement du </w:t>
            </w:r>
            <w:r>
              <w:rPr>
                <w:rFonts w:ascii="Times New Roman" w:hAnsi="Times New Roman"/>
                <w:sz w:val="24"/>
                <w:szCs w:val="24"/>
              </w:rPr>
              <w:t>C2P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F20F7">
              <w:rPr>
                <w:rFonts w:ascii="Times New Roman" w:hAnsi="Times New Roman"/>
                <w:sz w:val="24"/>
                <w:szCs w:val="24"/>
              </w:rPr>
              <w:t xml:space="preserve">Un </w:t>
            </w:r>
            <w:r w:rsidR="003F20F7" w:rsidRPr="003F20F7">
              <w:rPr>
                <w:rFonts w:ascii="Times New Roman" w:hAnsi="Times New Roman"/>
                <w:sz w:val="24"/>
                <w:szCs w:val="24"/>
              </w:rPr>
              <w:t>décret viendra acter ces changements.</w:t>
            </w:r>
          </w:p>
          <w:p w:rsidR="001F758C" w:rsidRPr="0030753A" w:rsidRDefault="001F758C" w:rsidP="003F20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758C" w:rsidRPr="00BE483C" w:rsidTr="003F20F7">
        <w:tc>
          <w:tcPr>
            <w:tcW w:w="9923" w:type="dxa"/>
            <w:shd w:val="clear" w:color="auto" w:fill="BFBFBF" w:themeFill="background1" w:themeFillShade="BF"/>
          </w:tcPr>
          <w:p w:rsidR="001F758C" w:rsidRPr="00BE483C" w:rsidRDefault="003F20F7" w:rsidP="000F36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670">
              <w:rPr>
                <w:rFonts w:ascii="Times New Roman" w:hAnsi="Times New Roman"/>
                <w:b/>
                <w:color w:val="0070C0"/>
                <w:sz w:val="32"/>
                <w:szCs w:val="32"/>
              </w:rPr>
              <w:lastRenderedPageBreak/>
              <w:t>Prise en compte de certains risques par un dispositif de retraite anticipé</w:t>
            </w:r>
          </w:p>
        </w:tc>
      </w:tr>
      <w:tr w:rsidR="001F758C" w:rsidRPr="00BE483C" w:rsidTr="00924695">
        <w:tc>
          <w:tcPr>
            <w:tcW w:w="9923" w:type="dxa"/>
          </w:tcPr>
          <w:p w:rsidR="0093645A" w:rsidRDefault="0093645A" w:rsidP="000F3670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3F20F7" w:rsidRDefault="003F20F7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F20F7">
              <w:rPr>
                <w:rFonts w:ascii="Times New Roman" w:hAnsi="Times New Roman"/>
                <w:sz w:val="24"/>
                <w:szCs w:val="24"/>
              </w:rPr>
              <w:t xml:space="preserve">Les 4 facteurs de risque sortis du </w:t>
            </w:r>
            <w:r w:rsidR="0093645A">
              <w:rPr>
                <w:rFonts w:ascii="Times New Roman" w:hAnsi="Times New Roman"/>
                <w:sz w:val="24"/>
                <w:szCs w:val="24"/>
              </w:rPr>
              <w:t>C2P</w:t>
            </w:r>
            <w:r w:rsidRPr="003F20F7">
              <w:rPr>
                <w:rFonts w:ascii="Times New Roman" w:hAnsi="Times New Roman"/>
                <w:sz w:val="24"/>
                <w:szCs w:val="24"/>
              </w:rPr>
              <w:t xml:space="preserve"> sont maintenant traités dans le cadre du dispositif de </w:t>
            </w:r>
            <w:r w:rsidRPr="003F20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retraite </w:t>
            </w:r>
            <w:r w:rsidRPr="0093645A">
              <w:rPr>
                <w:rFonts w:ascii="Times New Roman" w:hAnsi="Times New Roman"/>
                <w:b/>
                <w:bCs/>
                <w:sz w:val="24"/>
                <w:szCs w:val="24"/>
              </w:rPr>
              <w:t>anticipée</w:t>
            </w:r>
            <w:r w:rsidRPr="0093645A">
              <w:rPr>
                <w:rFonts w:ascii="Times New Roman" w:hAnsi="Times New Roman"/>
                <w:b/>
                <w:sz w:val="24"/>
                <w:szCs w:val="24"/>
              </w:rPr>
              <w:t xml:space="preserve"> pour incapacité pe</w:t>
            </w:r>
            <w:r w:rsidR="0093645A" w:rsidRPr="0093645A">
              <w:rPr>
                <w:rFonts w:ascii="Times New Roman" w:hAnsi="Times New Roman"/>
                <w:b/>
                <w:sz w:val="24"/>
                <w:szCs w:val="24"/>
              </w:rPr>
              <w:t>rmanente liée à la pénibilité</w:t>
            </w:r>
            <w:r w:rsidR="009364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645A" w:rsidRDefault="0093645A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3F20F7" w:rsidRDefault="003F20F7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F20F7">
              <w:rPr>
                <w:rFonts w:ascii="Times New Roman" w:hAnsi="Times New Roman"/>
                <w:sz w:val="24"/>
                <w:szCs w:val="24"/>
              </w:rPr>
              <w:t xml:space="preserve">Le salarié devra avoir contracté une </w:t>
            </w:r>
            <w:r w:rsidRPr="003F20F7">
              <w:rPr>
                <w:rFonts w:ascii="Times New Roman" w:hAnsi="Times New Roman"/>
                <w:b/>
                <w:bCs/>
                <w:sz w:val="24"/>
                <w:szCs w:val="24"/>
              </w:rPr>
              <w:t>maladie professionnelle</w:t>
            </w:r>
            <w:r w:rsidRPr="003F20F7">
              <w:rPr>
                <w:rFonts w:ascii="Times New Roman" w:hAnsi="Times New Roman"/>
                <w:sz w:val="24"/>
                <w:szCs w:val="24"/>
              </w:rPr>
              <w:t xml:space="preserve">, figurant sur une liste à fixer par arrêté, et être frappé d’un </w:t>
            </w:r>
            <w:r w:rsidRPr="003F20F7">
              <w:rPr>
                <w:rFonts w:ascii="Times New Roman" w:hAnsi="Times New Roman"/>
                <w:b/>
                <w:bCs/>
                <w:sz w:val="24"/>
                <w:szCs w:val="24"/>
              </w:rPr>
              <w:t>taux d’incapacité permanente</w:t>
            </w:r>
            <w:r w:rsidRPr="003F20F7">
              <w:rPr>
                <w:rFonts w:ascii="Times New Roman" w:hAnsi="Times New Roman"/>
                <w:sz w:val="24"/>
                <w:szCs w:val="24"/>
              </w:rPr>
              <w:t xml:space="preserve"> (IPP) d’au moins 10 % (sauf éventuelle modification par décret).</w:t>
            </w:r>
          </w:p>
          <w:p w:rsidR="0093645A" w:rsidRDefault="003F20F7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F20F7">
              <w:rPr>
                <w:rFonts w:ascii="Times New Roman" w:hAnsi="Times New Roman"/>
                <w:sz w:val="24"/>
                <w:szCs w:val="24"/>
              </w:rPr>
              <w:t xml:space="preserve">En revanche, il n’aura pas à justifier d’une durée d’exposition aux facteurs de risques, ni à établir que l’incapacité permanente est directement liée à leur exposition. </w:t>
            </w:r>
          </w:p>
          <w:p w:rsidR="0093645A" w:rsidRDefault="0093645A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3F20F7" w:rsidRPr="0093645A" w:rsidRDefault="003F20F7" w:rsidP="003F20F7">
            <w:pPr>
              <w:ind w:left="0" w:firstLine="0"/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</w:pPr>
            <w:r w:rsidRPr="0093645A"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  <w:t>En pratique, dans le nouveau système, il faudra</w:t>
            </w:r>
            <w:r w:rsidR="008B72BE"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  <w:t xml:space="preserve"> effectivement être atteint par une maladie</w:t>
            </w:r>
            <w:bookmarkStart w:id="0" w:name="_GoBack"/>
            <w:bookmarkEnd w:id="0"/>
            <w:r w:rsidRPr="0093645A"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  <w:t>, alors que dans la logique du compte pénibilité, le salarié acquérait des droits à raison de son exposition, sans exigence d’une affection ou d’un taux minimal d’IPP.</w:t>
            </w:r>
          </w:p>
          <w:p w:rsidR="001F758C" w:rsidRPr="00BE483C" w:rsidRDefault="001F758C" w:rsidP="003F20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0F7" w:rsidRPr="00BE483C" w:rsidTr="003F20F7">
        <w:tc>
          <w:tcPr>
            <w:tcW w:w="9923" w:type="dxa"/>
            <w:shd w:val="clear" w:color="auto" w:fill="BFBFBF" w:themeFill="background1" w:themeFillShade="BF"/>
          </w:tcPr>
          <w:p w:rsidR="003F20F7" w:rsidRDefault="003F20F7" w:rsidP="007D4A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ABE">
              <w:rPr>
                <w:rFonts w:ascii="Times New Roman" w:hAnsi="Times New Roman"/>
                <w:b/>
                <w:color w:val="0070C0"/>
                <w:sz w:val="32"/>
                <w:szCs w:val="32"/>
              </w:rPr>
              <w:t>Nouveau mode de financement du compte de prévention</w:t>
            </w:r>
          </w:p>
        </w:tc>
      </w:tr>
      <w:tr w:rsidR="003F20F7" w:rsidRPr="00BE483C" w:rsidTr="00924695">
        <w:tc>
          <w:tcPr>
            <w:tcW w:w="9923" w:type="dxa"/>
          </w:tcPr>
          <w:p w:rsidR="0093645A" w:rsidRDefault="0093645A" w:rsidP="003F20F7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93645A" w:rsidRPr="003F20F7" w:rsidRDefault="0093645A" w:rsidP="0093645A">
            <w:pPr>
              <w:pStyle w:val="Paragraphedeliste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F20F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Avant l’Ordonnance</w:t>
            </w:r>
          </w:p>
          <w:p w:rsidR="00496891" w:rsidRDefault="00496891" w:rsidP="0049689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Les </w:t>
            </w:r>
            <w:r w:rsidR="006D73C0">
              <w:rPr>
                <w:rFonts w:ascii="Times New Roman" w:hAnsi="Times New Roman"/>
                <w:sz w:val="24"/>
                <w:szCs w:val="24"/>
              </w:rPr>
              <w:t>employeurs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devaient payer une cotisation </w:t>
            </w:r>
            <w:r w:rsidR="006D73C0">
              <w:rPr>
                <w:rFonts w:ascii="Times New Roman" w:hAnsi="Times New Roman"/>
                <w:sz w:val="24"/>
                <w:szCs w:val="24"/>
              </w:rPr>
              <w:t>spécifique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73C0">
              <w:rPr>
                <w:rFonts w:ascii="Times New Roman" w:hAnsi="Times New Roman"/>
                <w:sz w:val="24"/>
                <w:szCs w:val="24"/>
              </w:rPr>
              <w:t xml:space="preserve">de pénibilité </w:t>
            </w:r>
            <w:r>
              <w:rPr>
                <w:rFonts w:ascii="Times New Roman" w:hAnsi="Times New Roman"/>
                <w:sz w:val="24"/>
                <w:szCs w:val="24"/>
              </w:rPr>
              <w:t>modulée en fonction de l’expo</w:t>
            </w:r>
            <w:r w:rsidR="006D73C0">
              <w:rPr>
                <w:rFonts w:ascii="Times New Roman" w:hAnsi="Times New Roman"/>
                <w:sz w:val="24"/>
                <w:szCs w:val="24"/>
              </w:rPr>
              <w:t>sition aux risques des salariés.</w:t>
            </w:r>
          </w:p>
          <w:p w:rsidR="00496891" w:rsidRDefault="00496891" w:rsidP="0049689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96891" w:rsidRPr="000F3670" w:rsidRDefault="00496891" w:rsidP="00496891">
            <w:pPr>
              <w:pStyle w:val="Paragraphedeliste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367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Avec l’Ordonnance</w:t>
            </w:r>
          </w:p>
          <w:p w:rsidR="00496891" w:rsidRDefault="006D73C0" w:rsidP="0049689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D4ABE"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  <w:t>A</w:t>
            </w:r>
            <w:r w:rsidR="00496891" w:rsidRPr="007D4ABE"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  <w:t xml:space="preserve"> partir </w:t>
            </w:r>
            <w:r w:rsidRPr="007D4ABE"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  <w:t>du 1</w:t>
            </w:r>
            <w:r w:rsidRPr="007D4ABE">
              <w:rPr>
                <w:rFonts w:ascii="Times New Roman" w:hAnsi="Times New Roman"/>
                <w:color w:val="984806" w:themeColor="accent6" w:themeShade="80"/>
                <w:sz w:val="24"/>
                <w:szCs w:val="24"/>
                <w:vertAlign w:val="superscript"/>
              </w:rPr>
              <w:t>er</w:t>
            </w:r>
            <w:r w:rsidRPr="007D4ABE"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  <w:t xml:space="preserve"> janvier 2018</w:t>
            </w:r>
            <w:r w:rsidR="00496891" w:rsidRPr="00496891">
              <w:rPr>
                <w:rFonts w:ascii="Times New Roman" w:hAnsi="Times New Roman"/>
                <w:sz w:val="24"/>
                <w:szCs w:val="24"/>
              </w:rPr>
              <w:t xml:space="preserve">, les entreprises n’auront plus à payer </w:t>
            </w:r>
            <w:r w:rsidR="007D4ABE">
              <w:rPr>
                <w:rFonts w:ascii="Times New Roman" w:hAnsi="Times New Roman"/>
                <w:sz w:val="24"/>
                <w:szCs w:val="24"/>
              </w:rPr>
              <w:t>cette</w:t>
            </w:r>
            <w:r w:rsidR="00496891" w:rsidRPr="00496891">
              <w:rPr>
                <w:rFonts w:ascii="Times New Roman" w:hAnsi="Times New Roman"/>
                <w:sz w:val="24"/>
                <w:szCs w:val="24"/>
              </w:rPr>
              <w:t xml:space="preserve"> cotisation </w:t>
            </w:r>
            <w:r>
              <w:rPr>
                <w:rFonts w:ascii="Times New Roman" w:hAnsi="Times New Roman"/>
                <w:sz w:val="24"/>
                <w:szCs w:val="24"/>
              </w:rPr>
              <w:t>spécifique.</w:t>
            </w:r>
          </w:p>
          <w:p w:rsidR="006D73C0" w:rsidRPr="00496891" w:rsidRDefault="006D73C0" w:rsidP="0049689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 C2P sera financé et géré par la branche accident du travail/maladies professionnelles de la Sécurité sociale.</w:t>
            </w:r>
          </w:p>
          <w:p w:rsidR="00496891" w:rsidRPr="00496891" w:rsidRDefault="006D73C0" w:rsidP="00496891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Ainsi,</w:t>
            </w:r>
            <w:r w:rsidR="00496891" w:rsidRPr="00496891">
              <w:rPr>
                <w:rFonts w:ascii="Times New Roman" w:hAnsi="Times New Roman"/>
                <w:sz w:val="24"/>
                <w:szCs w:val="24"/>
              </w:rPr>
              <w:t xml:space="preserve"> la gestion du </w:t>
            </w:r>
            <w:r>
              <w:rPr>
                <w:rFonts w:ascii="Times New Roman" w:hAnsi="Times New Roman"/>
                <w:sz w:val="24"/>
                <w:szCs w:val="24"/>
              </w:rPr>
              <w:t>C2P</w:t>
            </w:r>
            <w:r w:rsidR="00496891" w:rsidRPr="00496891">
              <w:rPr>
                <w:rFonts w:ascii="Times New Roman" w:hAnsi="Times New Roman"/>
                <w:sz w:val="24"/>
                <w:szCs w:val="24"/>
              </w:rPr>
              <w:t xml:space="preserve"> sera confiée à la Caisse nationale d’assurance maladie, et non plus à la Caisse nationale d’assurance vieillesse.</w:t>
            </w:r>
          </w:p>
          <w:p w:rsidR="003F20F7" w:rsidRDefault="003F20F7" w:rsidP="009364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ABE" w:rsidRPr="00BE483C" w:rsidTr="007D4ABE">
        <w:tc>
          <w:tcPr>
            <w:tcW w:w="9923" w:type="dxa"/>
            <w:shd w:val="clear" w:color="auto" w:fill="BFBFBF" w:themeFill="background1" w:themeFillShade="BF"/>
          </w:tcPr>
          <w:p w:rsidR="007D4ABE" w:rsidRDefault="007D4ABE" w:rsidP="007D4A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ABE">
              <w:rPr>
                <w:rFonts w:ascii="Times New Roman" w:hAnsi="Times New Roman"/>
                <w:b/>
                <w:color w:val="0070C0"/>
                <w:sz w:val="32"/>
                <w:szCs w:val="32"/>
              </w:rPr>
              <w:t>Modification de la négociation sur la pénibilité</w:t>
            </w:r>
          </w:p>
        </w:tc>
      </w:tr>
      <w:tr w:rsidR="007D4ABE" w:rsidRPr="00BE483C" w:rsidTr="00924695">
        <w:tc>
          <w:tcPr>
            <w:tcW w:w="9923" w:type="dxa"/>
          </w:tcPr>
          <w:p w:rsidR="007D4ABE" w:rsidRDefault="007D4ABE" w:rsidP="007D4ABE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D4ABE" w:rsidRDefault="007D4ABE" w:rsidP="007D4ABE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L’O</w:t>
            </w:r>
            <w:r w:rsidRPr="007D4ABE">
              <w:rPr>
                <w:rFonts w:ascii="Times New Roman" w:hAnsi="Times New Roman"/>
                <w:sz w:val="24"/>
                <w:szCs w:val="24"/>
              </w:rPr>
              <w:t xml:space="preserve">rdonnance maintient l'obligation de négocier non plus sur la pénibilité mais </w:t>
            </w:r>
            <w:r>
              <w:rPr>
                <w:rFonts w:ascii="Times New Roman" w:hAnsi="Times New Roman"/>
                <w:sz w:val="24"/>
                <w:szCs w:val="24"/>
              </w:rPr>
              <w:t>« </w:t>
            </w:r>
            <w:r w:rsidRPr="007D4ABE">
              <w:rPr>
                <w:rFonts w:ascii="Times New Roman" w:hAnsi="Times New Roman"/>
                <w:sz w:val="24"/>
                <w:szCs w:val="24"/>
              </w:rPr>
              <w:t>en faveur de la prévention des effets de l'exposition à certains facteurs de risques professionnels</w:t>
            </w:r>
            <w:r>
              <w:rPr>
                <w:rFonts w:ascii="Times New Roman" w:hAnsi="Times New Roman"/>
                <w:sz w:val="24"/>
                <w:szCs w:val="24"/>
              </w:rPr>
              <w:t> »</w:t>
            </w:r>
            <w:r w:rsidRPr="007D4AB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24485" w:rsidRDefault="00A24485" w:rsidP="007D4ABE">
            <w:pPr>
              <w:ind w:left="0" w:firstLine="0"/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</w:pPr>
          </w:p>
          <w:p w:rsidR="007D4ABE" w:rsidRPr="007D4ABE" w:rsidRDefault="007D4ABE" w:rsidP="007D4ABE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D4ABE">
              <w:rPr>
                <w:rFonts w:ascii="Times New Roman" w:hAnsi="Times New Roman"/>
                <w:color w:val="984806" w:themeColor="accent6" w:themeShade="80"/>
                <w:sz w:val="24"/>
                <w:szCs w:val="24"/>
              </w:rPr>
              <w:t xml:space="preserve">A compter du 1er janvier 2019, </w:t>
            </w:r>
            <w:r w:rsidR="00A24485">
              <w:rPr>
                <w:rFonts w:ascii="Times New Roman" w:hAnsi="Times New Roman"/>
                <w:sz w:val="24"/>
                <w:szCs w:val="24"/>
              </w:rPr>
              <w:t xml:space="preserve">les entreprises </w:t>
            </w:r>
            <w:r w:rsidRPr="007D4ABE">
              <w:rPr>
                <w:rFonts w:ascii="Times New Roman" w:hAnsi="Times New Roman"/>
                <w:sz w:val="24"/>
                <w:szCs w:val="24"/>
              </w:rPr>
              <w:t xml:space="preserve">concernées par cette obligation de négocier, ou, à défaut, d'élaborer un plan d'action unilatéral en la matière, </w:t>
            </w:r>
            <w:r w:rsidR="00A24485">
              <w:rPr>
                <w:rFonts w:ascii="Times New Roman" w:hAnsi="Times New Roman"/>
                <w:sz w:val="24"/>
                <w:szCs w:val="24"/>
              </w:rPr>
              <w:t xml:space="preserve">seront </w:t>
            </w:r>
            <w:r w:rsidRPr="007D4ABE">
              <w:rPr>
                <w:rFonts w:ascii="Times New Roman" w:hAnsi="Times New Roman"/>
                <w:sz w:val="24"/>
                <w:szCs w:val="24"/>
              </w:rPr>
              <w:t>les entreprises de plus de 50 salariés ou appartenant à un groupe, qui :</w:t>
            </w:r>
          </w:p>
          <w:p w:rsidR="007D4ABE" w:rsidRPr="00A24485" w:rsidRDefault="007D4ABE" w:rsidP="00A24485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A24485">
              <w:rPr>
                <w:rFonts w:ascii="Times New Roman" w:hAnsi="Times New Roman"/>
                <w:sz w:val="24"/>
                <w:szCs w:val="24"/>
              </w:rPr>
              <w:t>soit emploient une proportion minimale de salariés exposés, fixée par décret à paraître ;</w:t>
            </w:r>
          </w:p>
          <w:p w:rsidR="00A24485" w:rsidRDefault="007D4ABE" w:rsidP="00A24485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A24485">
              <w:rPr>
                <w:rFonts w:ascii="Times New Roman" w:hAnsi="Times New Roman"/>
                <w:sz w:val="24"/>
                <w:szCs w:val="24"/>
              </w:rPr>
              <w:t>soit possèdent une sinistralité au titre des accidents du travail et des maladies professionnelles (ATMP) supérieure à un certain seuil, déterminé par décret à paraître.</w:t>
            </w:r>
          </w:p>
          <w:p w:rsidR="00A24485" w:rsidRPr="00A24485" w:rsidRDefault="00A24485" w:rsidP="00A24485">
            <w:pPr>
              <w:pStyle w:val="Paragraphedeliste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24485" w:rsidRDefault="007D4ABE" w:rsidP="00A24485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D4ABE">
              <w:rPr>
                <w:rFonts w:ascii="Times New Roman" w:hAnsi="Times New Roman"/>
                <w:sz w:val="24"/>
                <w:szCs w:val="24"/>
              </w:rPr>
              <w:t xml:space="preserve">En l'absence d'accord, le plan d'action de l'entreprise devra être arrêté, après avis du comité social et économique. </w:t>
            </w:r>
          </w:p>
          <w:p w:rsidR="007D4ABE" w:rsidRPr="007D4ABE" w:rsidRDefault="007D4ABE" w:rsidP="00A24485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D4ABE">
              <w:rPr>
                <w:rFonts w:ascii="Times New Roman" w:hAnsi="Times New Roman"/>
                <w:sz w:val="24"/>
                <w:szCs w:val="24"/>
              </w:rPr>
              <w:t>Par ailleurs, le décret devra fixer la liste des thèmes obligatoires devant figurer dans ces accords collectifs.</w:t>
            </w:r>
          </w:p>
          <w:p w:rsidR="007D4ABE" w:rsidRDefault="007D4ABE" w:rsidP="00A24485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D4ABE" w:rsidRDefault="001E4AAD" w:rsidP="003813FE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Le montant de la pénalité encourue en cas de non-respect de l’obligation de négocier, qui reste plafonnée à 1 % des rémunérations, sera fixé par décret. </w:t>
            </w:r>
          </w:p>
          <w:p w:rsidR="008B72BE" w:rsidRDefault="008B72BE" w:rsidP="003813FE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34AF" w:rsidRPr="007D4ABE" w:rsidRDefault="008434AF" w:rsidP="008434AF">
      <w:pPr>
        <w:rPr>
          <w:rFonts w:ascii="Times New Roman" w:hAnsi="Times New Roman"/>
          <w:sz w:val="24"/>
          <w:szCs w:val="24"/>
        </w:rPr>
      </w:pPr>
    </w:p>
    <w:p w:rsidR="007D4ABE" w:rsidRPr="007D4ABE" w:rsidRDefault="007D4ABE">
      <w:pPr>
        <w:rPr>
          <w:rFonts w:ascii="Times New Roman" w:hAnsi="Times New Roman"/>
          <w:sz w:val="24"/>
          <w:szCs w:val="24"/>
        </w:rPr>
      </w:pPr>
    </w:p>
    <w:sectPr w:rsidR="007D4ABE" w:rsidRPr="007D4ABE" w:rsidSect="00B85267">
      <w:headerReference w:type="default" r:id="rId10"/>
      <w:footerReference w:type="default" r:id="rId11"/>
      <w:pgSz w:w="11906" w:h="16838" w:code="9"/>
      <w:pgMar w:top="1134" w:right="991" w:bottom="1021" w:left="1418" w:header="397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B6E" w:rsidRDefault="00975B6E" w:rsidP="001F758C">
      <w:r>
        <w:separator/>
      </w:r>
    </w:p>
  </w:endnote>
  <w:endnote w:type="continuationSeparator" w:id="0">
    <w:p w:rsidR="00975B6E" w:rsidRDefault="00975B6E" w:rsidP="001F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331" w:rsidRPr="0079382C" w:rsidRDefault="001826BA" w:rsidP="00E81335">
    <w:pPr>
      <w:pStyle w:val="Pieddepage"/>
      <w:tabs>
        <w:tab w:val="clear" w:pos="9072"/>
        <w:tab w:val="right" w:pos="9781"/>
      </w:tabs>
      <w:ind w:hanging="709"/>
      <w:rPr>
        <w:rFonts w:ascii="Times New Roman" w:hAnsi="Times New Roman"/>
      </w:rPr>
    </w:pPr>
    <w:r w:rsidRPr="0079382C">
      <w:rPr>
        <w:rFonts w:ascii="Times New Roman" w:hAnsi="Times New Roman"/>
      </w:rPr>
      <w:tab/>
    </w:r>
    <w:r w:rsidRPr="0079382C">
      <w:rPr>
        <w:rFonts w:ascii="Times New Roman" w:hAnsi="Times New Roman"/>
      </w:rPr>
      <w:tab/>
    </w:r>
    <w:proofErr w:type="gramStart"/>
    <w:r w:rsidRPr="0079382C">
      <w:rPr>
        <w:rFonts w:ascii="Times New Roman" w:hAnsi="Times New Roman"/>
      </w:rPr>
      <w:t>page</w:t>
    </w:r>
    <w:proofErr w:type="gramEnd"/>
    <w:r w:rsidRPr="0079382C">
      <w:rPr>
        <w:rFonts w:ascii="Times New Roman" w:hAnsi="Times New Roman"/>
      </w:rPr>
      <w:t xml:space="preserve"> </w:t>
    </w:r>
    <w:r w:rsidRPr="0079382C">
      <w:rPr>
        <w:rFonts w:ascii="Times New Roman" w:hAnsi="Times New Roman"/>
      </w:rPr>
      <w:fldChar w:fldCharType="begin"/>
    </w:r>
    <w:r w:rsidRPr="0079382C">
      <w:rPr>
        <w:rFonts w:ascii="Times New Roman" w:hAnsi="Times New Roman"/>
      </w:rPr>
      <w:instrText xml:space="preserve"> PAGE   \* MERGEFORMAT </w:instrText>
    </w:r>
    <w:r w:rsidRPr="0079382C">
      <w:rPr>
        <w:rFonts w:ascii="Times New Roman" w:hAnsi="Times New Roman"/>
      </w:rPr>
      <w:fldChar w:fldCharType="separate"/>
    </w:r>
    <w:r w:rsidR="008B72BE">
      <w:rPr>
        <w:rFonts w:ascii="Times New Roman" w:hAnsi="Times New Roman"/>
        <w:noProof/>
      </w:rPr>
      <w:t>2</w:t>
    </w:r>
    <w:r w:rsidRPr="0079382C">
      <w:rPr>
        <w:rFonts w:ascii="Times New Roman" w:hAnsi="Times New Roman"/>
      </w:rPr>
      <w:fldChar w:fldCharType="end"/>
    </w:r>
    <w:r w:rsidRPr="0079382C">
      <w:rPr>
        <w:rFonts w:ascii="Times New Roman" w:hAnsi="Times New Roman"/>
      </w:rPr>
      <w:t>/</w:t>
    </w:r>
    <w:fldSimple w:instr=" NUMPAGES   \* MERGEFORMAT ">
      <w:r w:rsidR="008B72BE" w:rsidRPr="008B72BE">
        <w:rPr>
          <w:rFonts w:ascii="Times New Roman" w:hAnsi="Times New Roman"/>
          <w:noProof/>
        </w:rPr>
        <w:t>2</w:t>
      </w:r>
    </w:fldSimple>
  </w:p>
  <w:p w:rsidR="004F1331" w:rsidRDefault="001826BA" w:rsidP="00E81335">
    <w:pPr>
      <w:pStyle w:val="Pieddepage"/>
      <w:jc w:val="center"/>
    </w:pPr>
    <w:r>
      <w:rPr>
        <w:noProof/>
      </w:rPr>
      <w:drawing>
        <wp:inline distT="0" distB="0" distL="0" distR="0" wp14:anchorId="78C3D92D" wp14:editId="0C6F83EE">
          <wp:extent cx="762000" cy="142875"/>
          <wp:effectExtent l="19050" t="0" r="0" b="0"/>
          <wp:docPr id="3" name="Image 3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3" w:history="1">
      <w:r w:rsidRPr="00ED5A97">
        <w:rPr>
          <w:rStyle w:val="Lienhypertexte"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B6E" w:rsidRDefault="00975B6E" w:rsidP="001F758C">
      <w:r>
        <w:separator/>
      </w:r>
    </w:p>
  </w:footnote>
  <w:footnote w:type="continuationSeparator" w:id="0">
    <w:p w:rsidR="00975B6E" w:rsidRDefault="00975B6E" w:rsidP="001F7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331" w:rsidRPr="0079382C" w:rsidRDefault="001F758C">
    <w:pPr>
      <w:pStyle w:val="En-tte"/>
      <w:rPr>
        <w:rFonts w:ascii="Times New Roman" w:hAnsi="Times New Roman"/>
      </w:rPr>
    </w:pPr>
    <w:r>
      <w:rPr>
        <w:rFonts w:ascii="Times New Roman" w:hAnsi="Times New Roman"/>
      </w:rPr>
      <w:t>Ordonnance n° 2017-1389</w:t>
    </w:r>
    <w:r w:rsidR="001826BA" w:rsidRPr="0079382C">
      <w:rPr>
        <w:rFonts w:ascii="Times New Roman" w:hAnsi="Times New Roman"/>
      </w:rPr>
      <w:tab/>
    </w:r>
    <w:r w:rsidR="001826BA" w:rsidRPr="0079382C">
      <w:rPr>
        <w:rFonts w:ascii="Times New Roman" w:hAnsi="Times New Roman"/>
      </w:rPr>
      <w:tab/>
    </w:r>
    <w:r w:rsidR="001826BA">
      <w:rPr>
        <w:rFonts w:ascii="Times New Roman" w:hAnsi="Times New Roman"/>
      </w:rPr>
      <w:t>22/09/2017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BD14565_"/>
      </v:shape>
    </w:pict>
  </w:numPicBullet>
  <w:abstractNum w:abstractNumId="0">
    <w:nsid w:val="08B95324"/>
    <w:multiLevelType w:val="hybridMultilevel"/>
    <w:tmpl w:val="F670B558"/>
    <w:lvl w:ilvl="0" w:tplc="70C018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67147A"/>
    <w:multiLevelType w:val="multilevel"/>
    <w:tmpl w:val="A61C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C43F4"/>
    <w:multiLevelType w:val="hybridMultilevel"/>
    <w:tmpl w:val="50787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D13E79"/>
    <w:multiLevelType w:val="hybridMultilevel"/>
    <w:tmpl w:val="3D0A05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58C"/>
    <w:rsid w:val="000056A6"/>
    <w:rsid w:val="000F3670"/>
    <w:rsid w:val="001826BA"/>
    <w:rsid w:val="001D4899"/>
    <w:rsid w:val="001E4AAD"/>
    <w:rsid w:val="001F758C"/>
    <w:rsid w:val="003813FE"/>
    <w:rsid w:val="003F20F7"/>
    <w:rsid w:val="00496891"/>
    <w:rsid w:val="006D73C0"/>
    <w:rsid w:val="007D4ABE"/>
    <w:rsid w:val="008434AF"/>
    <w:rsid w:val="008B72BE"/>
    <w:rsid w:val="00904D19"/>
    <w:rsid w:val="0093645A"/>
    <w:rsid w:val="00975B6E"/>
    <w:rsid w:val="00A24485"/>
    <w:rsid w:val="00AE3075"/>
    <w:rsid w:val="00B8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8C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1F758C"/>
    <w:pPr>
      <w:numPr>
        <w:numId w:val="1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uiPriority w:val="99"/>
    <w:rsid w:val="001F758C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1F758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F758C"/>
    <w:rPr>
      <w:rFonts w:ascii="Calibri" w:eastAsia="Times New Roman" w:hAnsi="Calibri" w:cs="Times New Roman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1F758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F758C"/>
    <w:rPr>
      <w:rFonts w:ascii="Calibri" w:eastAsia="Times New Roman" w:hAnsi="Calibri" w:cs="Times New Roman"/>
      <w:szCs w:val="20"/>
      <w:lang w:eastAsia="fr-FR"/>
    </w:rPr>
  </w:style>
  <w:style w:type="table" w:styleId="Grilledutableau">
    <w:name w:val="Table Grid"/>
    <w:basedOn w:val="TableauNormal"/>
    <w:uiPriority w:val="59"/>
    <w:rsid w:val="001F758C"/>
    <w:pPr>
      <w:spacing w:after="0" w:line="240" w:lineRule="auto"/>
      <w:ind w:left="709" w:hanging="284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F758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758C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titre">
    <w:name w:val="titre"/>
    <w:basedOn w:val="Normal"/>
    <w:rsid w:val="008434A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chapo">
    <w:name w:val="chapo"/>
    <w:basedOn w:val="Normal"/>
    <w:rsid w:val="008434A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texte">
    <w:name w:val="texte"/>
    <w:basedOn w:val="Normal"/>
    <w:rsid w:val="008434A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8434AF"/>
    <w:rPr>
      <w:b/>
      <w:bCs/>
    </w:rPr>
  </w:style>
  <w:style w:type="paragraph" w:customStyle="1" w:styleId="source">
    <w:name w:val="source"/>
    <w:basedOn w:val="Normal"/>
    <w:rsid w:val="008434A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F20F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D4AB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8C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1F758C"/>
    <w:pPr>
      <w:numPr>
        <w:numId w:val="1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uiPriority w:val="99"/>
    <w:rsid w:val="001F758C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1F758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F758C"/>
    <w:rPr>
      <w:rFonts w:ascii="Calibri" w:eastAsia="Times New Roman" w:hAnsi="Calibri" w:cs="Times New Roman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1F758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F758C"/>
    <w:rPr>
      <w:rFonts w:ascii="Calibri" w:eastAsia="Times New Roman" w:hAnsi="Calibri" w:cs="Times New Roman"/>
      <w:szCs w:val="20"/>
      <w:lang w:eastAsia="fr-FR"/>
    </w:rPr>
  </w:style>
  <w:style w:type="table" w:styleId="Grilledutableau">
    <w:name w:val="Table Grid"/>
    <w:basedOn w:val="TableauNormal"/>
    <w:uiPriority w:val="59"/>
    <w:rsid w:val="001F758C"/>
    <w:pPr>
      <w:spacing w:after="0" w:line="240" w:lineRule="auto"/>
      <w:ind w:left="709" w:hanging="284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F758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758C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titre">
    <w:name w:val="titre"/>
    <w:basedOn w:val="Normal"/>
    <w:rsid w:val="008434A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chapo">
    <w:name w:val="chapo"/>
    <w:basedOn w:val="Normal"/>
    <w:rsid w:val="008434A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texte">
    <w:name w:val="texte"/>
    <w:basedOn w:val="Normal"/>
    <w:rsid w:val="008434A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8434AF"/>
    <w:rPr>
      <w:b/>
      <w:bCs/>
    </w:rPr>
  </w:style>
  <w:style w:type="paragraph" w:customStyle="1" w:styleId="source">
    <w:name w:val="source"/>
    <w:basedOn w:val="Normal"/>
    <w:rsid w:val="008434A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F20F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D4AB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678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C</cp:lastModifiedBy>
  <cp:revision>5</cp:revision>
  <cp:lastPrinted>2017-11-04T22:55:00Z</cp:lastPrinted>
  <dcterms:created xsi:type="dcterms:W3CDTF">2017-11-03T16:24:00Z</dcterms:created>
  <dcterms:modified xsi:type="dcterms:W3CDTF">2017-11-04T22:59:00Z</dcterms:modified>
</cp:coreProperties>
</file>